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FECF4">
      <w:pPr>
        <w:rPr>
          <w:rFonts w:ascii="Times New Roman" w:hAnsi="Times New Roman" w:eastAsia="宋体" w:cs="Times New Roman"/>
          <w:sz w:val="21"/>
          <w:szCs w:val="21"/>
        </w:rPr>
      </w:pPr>
      <w:r>
        <w:rPr>
          <w:rFonts w:ascii="Times New Roman" w:hAnsi="Times New Roman" w:eastAsia="宋体" w:cs="Times New Roman"/>
          <w:b/>
          <w:caps/>
          <w:sz w:val="21"/>
          <w:szCs w:val="21"/>
        </w:rPr>
        <w:t>附件1</w:t>
      </w:r>
    </w:p>
    <w:p w14:paraId="0DC22DFA">
      <w:pPr>
        <w:spacing w:line="300" w:lineRule="auto"/>
        <w:jc w:val="center"/>
        <w:rPr>
          <w:rFonts w:ascii="Times New Roman" w:hAnsi="Times New Roman" w:eastAsia="宋体" w:cs="Times New Roman"/>
          <w:b/>
          <w:caps/>
          <w:sz w:val="21"/>
          <w:szCs w:val="21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caps/>
          <w:sz w:val="21"/>
          <w:szCs w:val="21"/>
          <w:highlight w:val="yellow"/>
        </w:rPr>
        <w:t>世界知识产权组织与清华大学“知识产权与创新政策”联合硕士项目课程方案</w:t>
      </w:r>
    </w:p>
    <w:bookmarkEnd w:id="0"/>
    <w:p w14:paraId="27E71034">
      <w:pPr>
        <w:rPr>
          <w:rFonts w:ascii="Times New Roman" w:hAnsi="Times New Roman" w:cs="Times New Roman"/>
          <w:sz w:val="21"/>
          <w:szCs w:val="21"/>
        </w:rPr>
      </w:pPr>
    </w:p>
    <w:p w14:paraId="36B29255">
      <w:pPr>
        <w:ind w:left="420" w:right="431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1</w:t>
      </w:r>
      <w:r>
        <w:rPr>
          <w:rFonts w:ascii="宋体" w:hAnsi="宋体"/>
          <w:b/>
          <w:bCs/>
          <w:szCs w:val="21"/>
        </w:rPr>
        <w:t>.</w:t>
      </w:r>
      <w:r>
        <w:rPr>
          <w:rFonts w:hint="eastAsia" w:ascii="宋体" w:hAnsi="宋体"/>
          <w:b/>
          <w:bCs/>
          <w:szCs w:val="21"/>
        </w:rPr>
        <w:t>公共必修课（</w:t>
      </w:r>
      <w:r>
        <w:rPr>
          <w:rFonts w:ascii="宋体" w:hAnsi="宋体"/>
          <w:b/>
          <w:bCs/>
          <w:szCs w:val="21"/>
        </w:rPr>
        <w:t>5</w:t>
      </w:r>
      <w:r>
        <w:rPr>
          <w:rFonts w:hint="eastAsia" w:ascii="宋体" w:hAnsi="宋体"/>
          <w:b/>
          <w:bCs/>
          <w:szCs w:val="21"/>
        </w:rPr>
        <w:t>学分）</w:t>
      </w:r>
    </w:p>
    <w:p w14:paraId="7BA49507">
      <w:pPr>
        <w:ind w:left="11" w:right="431" w:firstLine="408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国际留学生选修汉语课组和中国概况课组，不足部分学分用专业课学分替代。</w:t>
      </w:r>
    </w:p>
    <w:p w14:paraId="73F618B0">
      <w:pPr>
        <w:ind w:right="431" w:firstLine="385" w:firstLineChars="175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（1）汉语课组             00000002          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 2学分</w:t>
      </w:r>
    </w:p>
    <w:p w14:paraId="431E0E66">
      <w:pPr>
        <w:ind w:right="431" w:firstLine="330" w:firstLineChars="1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（2）中国概况课组          00000007            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3学分</w:t>
      </w:r>
    </w:p>
    <w:p w14:paraId="731B3FA2">
      <w:pPr>
        <w:ind w:right="431" w:firstLine="330" w:firstLineChars="150"/>
        <w:rPr>
          <w:rFonts w:ascii="宋体" w:hAnsi="宋体"/>
          <w:szCs w:val="21"/>
        </w:rPr>
      </w:pPr>
    </w:p>
    <w:p w14:paraId="77652F39">
      <w:pPr>
        <w:ind w:left="420" w:right="431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2</w:t>
      </w:r>
      <w:r>
        <w:rPr>
          <w:rFonts w:ascii="宋体" w:hAnsi="宋体"/>
          <w:b/>
          <w:bCs/>
          <w:szCs w:val="21"/>
        </w:rPr>
        <w:t>.</w:t>
      </w:r>
      <w:r>
        <w:rPr>
          <w:rFonts w:hint="eastAsia" w:ascii="宋体" w:hAnsi="宋体"/>
          <w:b/>
          <w:bCs/>
          <w:szCs w:val="21"/>
        </w:rPr>
        <w:t xml:space="preserve">职业伦理课程（必修 </w:t>
      </w:r>
      <w:r>
        <w:rPr>
          <w:rFonts w:ascii="宋体" w:hAnsi="宋体"/>
          <w:b/>
          <w:bCs/>
          <w:szCs w:val="21"/>
        </w:rPr>
        <w:t>2</w:t>
      </w:r>
      <w:r>
        <w:rPr>
          <w:rFonts w:hint="eastAsia" w:ascii="宋体" w:hAnsi="宋体"/>
          <w:b/>
          <w:bCs/>
          <w:szCs w:val="21"/>
        </w:rPr>
        <w:t>学分）</w:t>
      </w:r>
    </w:p>
    <w:p w14:paraId="7FD183D5">
      <w:pPr>
        <w:ind w:right="431" w:firstLine="330" w:firstLineChars="1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（1）中国法制史学     80660142       2学分</w:t>
      </w:r>
    </w:p>
    <w:p w14:paraId="23BB7266">
      <w:pPr>
        <w:ind w:left="780" w:right="431" w:firstLine="440" w:firstLineChars="200"/>
        <w:rPr>
          <w:rFonts w:ascii="宋体" w:hAnsi="宋体"/>
          <w:szCs w:val="21"/>
        </w:rPr>
      </w:pPr>
    </w:p>
    <w:p w14:paraId="69207BCF">
      <w:pPr>
        <w:ind w:left="420" w:right="431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3</w:t>
      </w:r>
      <w:r>
        <w:rPr>
          <w:rFonts w:ascii="宋体" w:hAnsi="宋体"/>
          <w:b/>
          <w:bCs/>
          <w:szCs w:val="21"/>
        </w:rPr>
        <w:t>.</w:t>
      </w:r>
      <w:r>
        <w:rPr>
          <w:rFonts w:hint="eastAsia" w:ascii="宋体" w:hAnsi="宋体"/>
          <w:b/>
          <w:bCs/>
          <w:szCs w:val="21"/>
        </w:rPr>
        <w:t>专业必修课（</w:t>
      </w:r>
      <w:r>
        <w:rPr>
          <w:rFonts w:ascii="宋体" w:hAnsi="宋体"/>
          <w:b/>
          <w:bCs/>
          <w:szCs w:val="21"/>
        </w:rPr>
        <w:t>9</w:t>
      </w:r>
      <w:r>
        <w:rPr>
          <w:rFonts w:hint="eastAsia" w:ascii="宋体" w:hAnsi="宋体"/>
          <w:b/>
          <w:bCs/>
          <w:szCs w:val="21"/>
        </w:rPr>
        <w:t>学分）</w:t>
      </w:r>
    </w:p>
    <w:tbl>
      <w:tblPr>
        <w:tblStyle w:val="8"/>
        <w:tblW w:w="6702" w:type="dxa"/>
        <w:tblInd w:w="70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3700"/>
        <w:gridCol w:w="1280"/>
        <w:gridCol w:w="876"/>
      </w:tblGrid>
      <w:tr w14:paraId="0588FA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A9C5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CEE9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著作权专题研究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A75D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80661373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7A88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51F72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8B76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064B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专利法专题研究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4EE8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80661403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FFC1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65036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A731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EE46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商标法及反不正当竞争法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CCDC3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80661413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9E67D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7E734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7F6C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22514">
            <w:pPr>
              <w:rPr>
                <w:rFonts w:ascii="宋体" w:hAnsi="宋体" w:cs="Arial"/>
                <w:szCs w:val="21"/>
                <w:u w:val="single"/>
              </w:rPr>
            </w:pPr>
            <w:r>
              <w:rPr>
                <w:rFonts w:hint="eastAsia" w:ascii="宋体" w:hAnsi="宋体" w:cs="Arial"/>
                <w:szCs w:val="21"/>
                <w:u w:val="single"/>
              </w:rPr>
              <w:t>创新经济学与政策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5375F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新开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A1FC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</w:tbl>
    <w:p w14:paraId="26C77383">
      <w:pPr>
        <w:ind w:left="420" w:right="431"/>
        <w:rPr>
          <w:rFonts w:ascii="宋体" w:hAnsi="宋体"/>
          <w:b/>
          <w:bCs/>
          <w:szCs w:val="21"/>
        </w:rPr>
      </w:pPr>
    </w:p>
    <w:p w14:paraId="4CA73970">
      <w:pPr>
        <w:ind w:left="420" w:right="431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4</w:t>
      </w:r>
      <w:r>
        <w:rPr>
          <w:rFonts w:ascii="宋体" w:hAnsi="宋体"/>
          <w:b/>
          <w:bCs/>
          <w:szCs w:val="21"/>
        </w:rPr>
        <w:t xml:space="preserve">. </w:t>
      </w:r>
      <w:r>
        <w:rPr>
          <w:rFonts w:hint="eastAsia" w:ascii="宋体" w:hAnsi="宋体"/>
          <w:b/>
          <w:bCs/>
          <w:szCs w:val="21"/>
        </w:rPr>
        <w:t>专业选修课（</w:t>
      </w:r>
      <w:r>
        <w:rPr>
          <w:rFonts w:ascii="宋体" w:hAnsi="宋体"/>
          <w:sz w:val="24"/>
        </w:rPr>
        <w:t>≥</w:t>
      </w:r>
      <w:r>
        <w:rPr>
          <w:rFonts w:hint="eastAsia" w:ascii="宋体" w:hAnsi="宋体"/>
          <w:b/>
          <w:bCs/>
          <w:szCs w:val="21"/>
        </w:rPr>
        <w:t>8学分）</w:t>
      </w:r>
    </w:p>
    <w:tbl>
      <w:tblPr>
        <w:tblStyle w:val="8"/>
        <w:tblW w:w="6702" w:type="dxa"/>
        <w:tblInd w:w="70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3525"/>
        <w:gridCol w:w="1268"/>
        <w:gridCol w:w="853"/>
      </w:tblGrid>
      <w:tr w14:paraId="4DD1E0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35727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3485E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知识产权法专题研究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3BDF6A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80661613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6D83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448A3B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DD27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F83A8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>商业秘密法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AA3DD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新开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D3B5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2学分</w:t>
            </w:r>
          </w:p>
        </w:tc>
      </w:tr>
      <w:tr w14:paraId="359CFB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E992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17384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知识产权许可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6C8F9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70660603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8AF6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3F238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B057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EB89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国际知识产权条约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C88C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80661193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8AAF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3学分</w:t>
            </w:r>
          </w:p>
        </w:tc>
      </w:tr>
      <w:tr w14:paraId="6D1D96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61B79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8D86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网络环境的知识产权法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3EE4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90660233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7AB2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6EF68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31BD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0E10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专利代理实务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67B8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/>
                <w:szCs w:val="21"/>
              </w:rPr>
              <w:t>80661743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EA32B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3学分</w:t>
            </w:r>
          </w:p>
        </w:tc>
      </w:tr>
      <w:tr w14:paraId="15025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AB55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7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CA526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>知识产权与反垄断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88005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新开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408C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2学分</w:t>
            </w:r>
          </w:p>
        </w:tc>
      </w:tr>
      <w:tr w14:paraId="678D26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2A862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8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627E42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>数据与人工智能治理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28ED5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新开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E479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3学分</w:t>
            </w:r>
          </w:p>
        </w:tc>
      </w:tr>
      <w:tr w14:paraId="4F22C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A247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9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6AE91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>知识产权与公共健康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3E4BE">
            <w:pPr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新开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B0E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2学分</w:t>
            </w:r>
          </w:p>
        </w:tc>
      </w:tr>
      <w:tr w14:paraId="1EFCF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F727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E339D">
            <w:pPr>
              <w:rPr>
                <w:rFonts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网络规制法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EDA76">
            <w:pPr>
              <w:rPr>
                <w:rFonts w:ascii="宋体" w:hAnsi="宋体" w:cs="Arial"/>
                <w:szCs w:val="21"/>
              </w:rPr>
            </w:pPr>
            <w:r>
              <w:rPr>
                <w:rFonts w:ascii="宋体" w:hAnsi="宋体"/>
                <w:szCs w:val="21"/>
              </w:rPr>
              <w:t>80660883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FC531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学分</w:t>
            </w:r>
          </w:p>
        </w:tc>
      </w:tr>
      <w:tr w14:paraId="1BAB6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C58EA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11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D6F4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外国知识产权法专题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3113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80661452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8791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学分</w:t>
            </w:r>
          </w:p>
        </w:tc>
      </w:tr>
      <w:tr w14:paraId="40F08F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F3750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12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9BB1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外国专利法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AC83E7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80661773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D277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3学分</w:t>
            </w:r>
          </w:p>
        </w:tc>
      </w:tr>
      <w:tr w14:paraId="61470F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BFBCF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13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1E231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外国版权法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F590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80661783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82D1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3学分</w:t>
            </w:r>
          </w:p>
        </w:tc>
      </w:tr>
      <w:tr w14:paraId="637EE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9EA18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6A2A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外国商标法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A3416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80661793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D06E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3学分</w:t>
            </w:r>
          </w:p>
        </w:tc>
      </w:tr>
      <w:tr w14:paraId="0A269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4647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E7CB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科技法讲座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3A31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80660602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49A0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学分</w:t>
            </w:r>
          </w:p>
        </w:tc>
      </w:tr>
      <w:tr w14:paraId="26DF6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DA1CA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16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4696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国际电子商务法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D2010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80661893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3D8C2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2学分</w:t>
            </w:r>
          </w:p>
        </w:tc>
      </w:tr>
      <w:tr w14:paraId="2F7998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8640D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17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33F36">
            <w:pPr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Arial" w:hAnsi="Arial" w:eastAsia="仿宋_GB2312" w:cs="Arial"/>
                <w:bCs/>
                <w:szCs w:val="21"/>
              </w:rPr>
              <w:t>法学学位分委员会认可的其他课程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4CB11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29B39">
            <w:pPr>
              <w:rPr>
                <w:rFonts w:ascii="宋体" w:hAnsi="宋体"/>
                <w:szCs w:val="21"/>
              </w:rPr>
            </w:pPr>
          </w:p>
        </w:tc>
      </w:tr>
    </w:tbl>
    <w:p w14:paraId="5A7E9B29">
      <w:pPr>
        <w:rPr>
          <w:rFonts w:ascii="Times New Roman" w:hAnsi="Times New Roman" w:cs="Times New Roman"/>
          <w:sz w:val="21"/>
          <w:szCs w:val="21"/>
        </w:rPr>
      </w:pPr>
    </w:p>
    <w:p w14:paraId="4231A0BF">
      <w:pPr>
        <w:rPr>
          <w:rFonts w:ascii="Times New Roman" w:hAnsi="Times New Roman" w:cs="Times New Roman"/>
          <w:b/>
          <w:sz w:val="21"/>
          <w:szCs w:val="21"/>
        </w:rPr>
      </w:pPr>
    </w:p>
    <w:sectPr>
      <w:pgSz w:w="12240" w:h="15840"/>
      <w:pgMar w:top="1191" w:right="1077" w:bottom="1191" w:left="1077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Kalinga">
    <w:altName w:val="Bahnschrift Ligh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hnschrift Light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712526-0734-4A4F-903F-A0ACC08FDC5C}">
  <ds:schemaRefs/>
</ds:datastoreItem>
</file>